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290</w:t>
      </w:r>
    </w:p>
    <w:p>
      <w:r>
        <w:t>Bundesgericht (BGE), 1967-07-07, DE</w:t>
      </w:r>
    </w:p>
    <w:p>
      <w:r>
        <w:rPr>
          <w:b/>
        </w:rPr>
        <w:t xml:space="preserve">Quelle: </w:t>
      </w:r>
      <w:r>
        <w:t>https://mcp.opencaselaw.ch/entscheid/bge_93 I 290</w:t>
      </w:r>
    </w:p>
    <w:p>
      <w:r>
        <w:t>FR: ATF 93 I 290</w:t>
      </w:r>
    </w:p>
    <w:p>
      <w:r>
        <w:t>IT: DTF 93 I 290</w:t>
      </w:r>
    </w:p>
    <w:p>
      <w:pPr>
        <w:pStyle w:val="Heading2"/>
      </w:pPr>
      <w:r>
        <w:t>Regeste</w:t>
      </w:r>
    </w:p>
    <w:p>
      <w:r>
        <w:t>Regeste Haftpflicht der SBB gegenüber einem beim Eisenbahnbau verunfallten Arbeiter einer privaten Unternehmung. 1. Die Klage der Hinterbliebenen des Verunfallten ist nicht nach dem Verantwortlichkeitsgesetz, sondern nach dem Zivilrecht (EHG oder OR) zu beurteilen (Erw. 2). 2. Das Bundesgericht ist unter keinem Titel als einzige Instanz zuständig (Erw. 3, 4).</w:t>
      </w:r>
    </w:p>
    <w:p>
      <w:pPr>
        <w:pStyle w:val="Heading2"/>
      </w:pPr>
      <w:r>
        <w:t>Erwägungen</w:t>
      </w:r>
    </w:p>
    <w:p>
      <w:r>
        <w:rPr>
          <w:b/>
        </w:rPr>
        <w:t>E. 1</w:t>
      </w:r>
    </w:p>
    <w:p>
      <w:r>
        <w:t>(Passivlegitimation der SBB; BGE 91 I 228 ).</w:t>
      </w:r>
    </w:p>
    <w:p>
      <w:r>
        <w:rPr>
          <w:b/>
        </w:rPr>
        <w:t>E. 2</w:t>
      </w:r>
    </w:p>
    <w:p>
      <w:r>
        <w:t>Die SBB haften nach Art. 3 Abs. 1 VG für den Schaden, den ihre Beamten in Ausübung ihrer amtlichen Tätigkeit Dritten widerrechtlich zufügen, und zwar ohne Rücksicht auf das Verschulden der Beamten. Indessen sind sie im vorliegenden Falle von dieser Haftung aus zwei Gründen ausgenommen. a) Einerseits ist Art. 3 Abs. 2 VG zu beachten, wonach die Haftung des Bundes bei Tatbeständen, welche unter die Haftpflichtbestimmungen anderer Erlasse fallen, sich nach diesen besonderen Bestimmungen richtet. Aus dem Wortlaut dieser Vorschrift und den Beratungen im Parlament ergibt sich, dass solche Tatbestände ausschliesslich nach den Bestimmungen der Sondergesetze zu beurteilen sind (Sten. Bull. StR 1956 S. 325, NR 1957 S. 817). Hier können die Kläger sich jedenfalls insoweit, als sie eine Entschädigung für "Todesfallkosten" und Genugtuungssummen beanspruchen, auf das Eisenbahnhaftpflichtgesetz stützen, welches als Sondergesetz die Anwendung des Verantwortlichkeitsgesetzes ausschliesst. Daran ändert es nichts, dass Art. 128 Ziff. 3 des Bundesgesetzes über die Kranken- und Unfallversicherung (KUVG) die Bestimmungen des Eisenbahnhaftpflichtgesetzes aufhebt, soweit sie die Haftpflicht der Eisenbahnunternehmungen für Unfälle im Dienst gegenüber (ihren eigenen BGE 93 I 290 S. 293 obligatorisch versicherten Angestellten und Arbeitern und) den beim Eisenbahnbau beschäftigten obligatorisch versicherten Angestellten und Arbeitern anderer Unternehmungen betreffen. Unter den Begriff des Eisenbahnbaus im Sinne dieser Bestimmung fallen auch die Unterhaltsarbeiten, die hier vom Bahnbeamten Schmid und dem von einer privaten Unternehmung angestellten Verunfallten auszuführen waren (Art. 13 Ziff. 1 Verordnung I über die Unfallversicherung). Aber Art. 128 Ziff. 3 KUVG erfasst nur solche Forderungen, für welche die obligatorische Versicherung Deckung bietet (OFTINGER, Schweiz. Haftpflichtrecht, 2. Aufl., Bd. I S. 384; SAXER, Der Regress nach Art. 100 KUVG gegenüber der Eisenbahnunternehmung, S. 44). Diese Voraussetzung ist hinsichtlich der Ansprüche der Kläger auf Entschädigung für den von der SUVA nicht ersetzten Teil der "Todesfallkosten" und auf Genugtuung nicht erfüllt. Dagegen ist zweifelhaft, wie es sich in dieser Beziehung mit dem Anspruch der Braut des Verunfallten auf Ersatz des Versorgerschadens verhalte; ist doch die SUVA u.a. zur Zahlung von Renten an einen bestimmten Kreis von Hinterbliebenen des Verunfallten verpflichtet, zu denen allerdings der Verlobte nicht gehört ( Art. 84 ff. KUVG ). Wenn sich jener Anspruch der Braut nicht auf das Eisenbahnhaftpflichtgesetz gründen lässt, kann er indessen auf das Obligationenrecht gestützt werden, welches nach Art. 129 Abs. 1 KUVG die in Art. 128 aufgehobenen Bestimmungen ersetzt. Ist aber das Obligationenrecht auf Grund der Sondervorschrift des Art. 129 Abs. 1 KUVG anwendbar, so ist es seinerseits als Sonderordnung im Verhältnis zum Verantwortlichkeitsgesetz zu betrachten und schliesst daher die Anwendung dieses Gesetzes ebenfalls aus. b) Anderseits bestimmt Art. 11 Abs. 1 VG , dass der Bund, soweit er als Subjekt des Zivilrechts auftritt, nach dessen Vorschriften haftet. Im vorliegenden Falle können die Ansprüche der Kläger einzig auf das Zivilrecht (EHG oder OR) gestützt werden, so dass die SBB als Subjekt des Zivilrechts zu behandeln sind und daher nicht der im Verantwortlichkeitsgesetz vorgesehenen Haftung unterliegen.</w:t>
      </w:r>
    </w:p>
    <w:p>
      <w:r>
        <w:rPr>
          <w:b/>
        </w:rPr>
        <w:t>E. 3</w:t>
      </w:r>
    </w:p>
    <w:p>
      <w:r>
        <w:t>Da die Klagebegehren sich nicht auf das Verantwortlichkeitsgesetz stützen lassen, fällt die Zuständigkeit des Bundesgerichts als einziger Instanz gemäss Art. 10 VG / Art. 110 OG ausser Betracht. BGE 93 I 290 S. 294 Die Kläger können sich auch nicht auf Art. 112 OG berufen, wonach das Bundesgericht als einzige Instanz die Beurteilung anderer als der in den vorhergehenden Artikeln genannten Streitigkeiten verwaltungsrechtlicher Natur zu übernehmen hat, wenn es von beiden Parteien angerufen wird und der Streitwert wenigstens 20 000 Franken beträgt. Weder ist die vorliegende Streitigkeit verwaltungsrechtlicher Natur, noch haben die SBB ausdrücklich oder stillschweigend einer Prorogation im Sinne des Art. 112 OG zugestimmt. Eine solche Zustimmung kann insbesondere nicht daraus abgeleitet werden, dass die SBB den Klägern eine Frist von sechs Monaten zur Einreichung einer Klage beim Bundesgericht gesetzt haben. Damit haben sie die Zulässigkeit der vorliegenden Klage nicht anerkannt, sondern lediglich Art. 3 Abs. 2 der Vollziehungsverordnung zum Verantwortlichkeitsgesetz befolgt, wonach mit der Stellungnahme der Verwaltung zu einem auf dieses Gesetz gestützten Anspruch ein Hinweis auf die in Art. 20 Abs. 3 desselben Gesetzes vorgesehene Klagefrist zu verbinden ist.</w:t>
      </w:r>
    </w:p>
    <w:p>
      <w:r>
        <w:rPr>
          <w:b/>
        </w:rPr>
        <w:t>E. 4</w:t>
      </w:r>
    </w:p>
    <w:p>
      <w:r>
        <w:t>Das Bundesgericht ist auch nicht unter einem anderen Titel als einzige Instanz zuständig. Insbesondere kann die Klage nicht als direkte Zivilklage entgegengenommen und beurteilt werden. Art. 41 lit. b OG nimmt von der dort vorgesehenen Zuständigkeit des Bundesgerichts ausdrücklich sämtliche Klagen gegen die SBB aus, und auch eine Prorogation im Sinne der lit. c ebenda liegt nach dem in Erw. 3 Ausgeführten nicht vor.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